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B8A9A" w14:textId="0FB13D1D" w:rsidR="59F113B9" w:rsidRDefault="59F113B9" w:rsidP="0D41860A">
      <w:pPr>
        <w:spacing w:after="0" w:line="300" w:lineRule="auto"/>
        <w:rPr>
          <w:rFonts w:ascii="Segoe UI" w:eastAsia="Segoe UI" w:hAnsi="Segoe UI" w:cs="Segoe UI"/>
          <w:sz w:val="21"/>
          <w:szCs w:val="21"/>
        </w:rPr>
      </w:pPr>
      <w:r w:rsidRPr="0D41860A">
        <w:rPr>
          <w:rFonts w:ascii="Segoe UI" w:eastAsia="Segoe UI" w:hAnsi="Segoe UI" w:cs="Segoe UI"/>
          <w:b/>
          <w:bCs/>
          <w:sz w:val="21"/>
          <w:szCs w:val="21"/>
        </w:rPr>
        <w:t>Migrant Justice in Glasgow: 25 Years of Community Organising</w:t>
      </w:r>
    </w:p>
    <w:p w14:paraId="2229C698" w14:textId="30D6908B" w:rsidR="0D1B4076" w:rsidRDefault="7E82BED2" w:rsidP="0D41860A">
      <w:pPr>
        <w:spacing w:before="210" w:after="210" w:line="240" w:lineRule="auto"/>
        <w:rPr>
          <w:rFonts w:asciiTheme="minorHAnsi" w:hAnsiTheme="minorHAnsi"/>
          <w:sz w:val="22"/>
          <w:szCs w:val="22"/>
        </w:rPr>
      </w:pPr>
      <w:r w:rsidRPr="0D41860A">
        <w:rPr>
          <w:rFonts w:asciiTheme="minorHAnsi" w:hAnsiTheme="minorHAnsi"/>
          <w:sz w:val="22"/>
          <w:szCs w:val="22"/>
        </w:rPr>
        <w:t>Glasgow’s migrant justice landscape has been shaped over the past 25 years by the interplay of hostile policies and collective forms of resistance. This history sits within longer trajectories of empire, deindustrialisation, migration, and grassroots organising, which continue to shape how exclusion is experienced and how solidarity is practised. The city offers a powerful case of how displacement, inequality, and community response become entangled in everyday life.</w:t>
      </w:r>
    </w:p>
    <w:p w14:paraId="6D74AB66" w14:textId="325F8FB3" w:rsidR="0D1B4076" w:rsidRDefault="7E82BED2" w:rsidP="0D41860A">
      <w:pPr>
        <w:spacing w:beforeAutospacing="1" w:afterAutospacing="1" w:line="240" w:lineRule="auto"/>
        <w:rPr>
          <w:rFonts w:asciiTheme="minorHAnsi" w:hAnsiTheme="minorHAnsi"/>
          <w:b/>
          <w:bCs/>
          <w:sz w:val="22"/>
          <w:szCs w:val="22"/>
        </w:rPr>
      </w:pPr>
      <w:r w:rsidRPr="0D41860A">
        <w:rPr>
          <w:rFonts w:asciiTheme="minorHAnsi" w:hAnsiTheme="minorHAnsi"/>
          <w:b/>
          <w:bCs/>
          <w:sz w:val="22"/>
          <w:szCs w:val="22"/>
        </w:rPr>
        <w:t>Glasgow: Empire, Inequality, and Traditions of Resistance</w:t>
      </w:r>
    </w:p>
    <w:p w14:paraId="6073F5D7" w14:textId="4A9130CD"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Glasgow is a city shaped by both empire and constant change. In the eighteenth and nineteenth centuries it grew wealthy as the so</w:t>
      </w:r>
      <w:r w:rsidR="0D1B4076">
        <w:noBreakHyphen/>
      </w:r>
      <w:r w:rsidRPr="0D41860A">
        <w:rPr>
          <w:rFonts w:asciiTheme="minorHAnsi" w:hAnsiTheme="minorHAnsi"/>
          <w:sz w:val="22"/>
          <w:szCs w:val="22"/>
        </w:rPr>
        <w:t>called “Second City of Empire”, with prosperity built on slavery, colonial extraction, and land dispossession. These imperial histories continue to shape the city’s institutions, architecture, and inequalities, even when they are downplayed or denied.</w:t>
      </w:r>
    </w:p>
    <w:p w14:paraId="3508D321" w14:textId="5F2261E5"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The industrial boom that followed — especially shipbuilding and heavy industry — brought employment and global prominence, but deindustrialisation in the late twentieth century had devastating effects. Factory and yard closures produced long</w:t>
      </w:r>
      <w:r w:rsidR="0D1B4076">
        <w:noBreakHyphen/>
      </w:r>
      <w:r w:rsidRPr="0D41860A">
        <w:rPr>
          <w:rFonts w:asciiTheme="minorHAnsi" w:hAnsiTheme="minorHAnsi"/>
          <w:sz w:val="22"/>
          <w:szCs w:val="22"/>
        </w:rPr>
        <w:t>term unemployment, poverty, and health inequalities that continue to structure many parts of the city today.</w:t>
      </w:r>
    </w:p>
    <w:p w14:paraId="647D81C4" w14:textId="79AABC08"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Alongside these hardships, Glasgow has a strong tradition of radical politics and community resistance. From Red Clydeside and the rent strikes led by Mary Barbour in 1915, to trade unionism and anti</w:t>
      </w:r>
      <w:r w:rsidR="0D1B4076">
        <w:noBreakHyphen/>
      </w:r>
      <w:r w:rsidRPr="0D41860A">
        <w:rPr>
          <w:rFonts w:asciiTheme="minorHAnsi" w:hAnsiTheme="minorHAnsi"/>
          <w:sz w:val="22"/>
          <w:szCs w:val="22"/>
        </w:rPr>
        <w:t>war activism, the city has repeatedly generated collective responses to inequality. This legacy provides an important foundation for understanding later forms of migrant and asylum solidarity.</w:t>
      </w:r>
    </w:p>
    <w:p w14:paraId="4E38AD0B" w14:textId="2A9329DA"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 xml:space="preserve">Migration has always been part of Glasgow’s story — </w:t>
      </w:r>
      <w:proofErr w:type="gramStart"/>
      <w:r w:rsidRPr="0D41860A">
        <w:rPr>
          <w:rFonts w:asciiTheme="minorHAnsi" w:hAnsiTheme="minorHAnsi"/>
          <w:sz w:val="22"/>
          <w:szCs w:val="22"/>
        </w:rPr>
        <w:t>from Irish migration,</w:t>
      </w:r>
      <w:proofErr w:type="gramEnd"/>
      <w:r w:rsidRPr="0D41860A">
        <w:rPr>
          <w:rFonts w:asciiTheme="minorHAnsi" w:hAnsiTheme="minorHAnsi"/>
          <w:sz w:val="22"/>
          <w:szCs w:val="22"/>
        </w:rPr>
        <w:t xml:space="preserve"> to South Asian settlement, to Polish refugees after the Second World War, and more recently people seeking asylum. These movements have enriched the city but have also exposed persistent racism, sectarianism, and inequality. Moments such as the 1919 race riots and the racist murder of Kurdish asylum seeker Firsat Dağ in 2001 remind us that Glasgow’s self</w:t>
      </w:r>
      <w:r w:rsidR="0D1B4076">
        <w:noBreakHyphen/>
      </w:r>
      <w:r w:rsidRPr="0D41860A">
        <w:rPr>
          <w:rFonts w:asciiTheme="minorHAnsi" w:hAnsiTheme="minorHAnsi"/>
          <w:sz w:val="22"/>
          <w:szCs w:val="22"/>
        </w:rPr>
        <w:t xml:space="preserve">image as welcoming sits alongside histories of </w:t>
      </w:r>
      <w:r w:rsidR="56FB861E" w:rsidRPr="0D41860A">
        <w:rPr>
          <w:rFonts w:asciiTheme="minorHAnsi" w:hAnsiTheme="minorHAnsi"/>
          <w:sz w:val="22"/>
          <w:szCs w:val="22"/>
        </w:rPr>
        <w:t xml:space="preserve">racism, </w:t>
      </w:r>
      <w:r w:rsidRPr="0D41860A">
        <w:rPr>
          <w:rFonts w:asciiTheme="minorHAnsi" w:hAnsiTheme="minorHAnsi"/>
          <w:sz w:val="22"/>
          <w:szCs w:val="22"/>
        </w:rPr>
        <w:t>exclusion and violence.</w:t>
      </w:r>
    </w:p>
    <w:p w14:paraId="3C7BDE7A" w14:textId="34657499" w:rsidR="0D1B4076" w:rsidRDefault="7E82BED2" w:rsidP="0D41860A">
      <w:pPr>
        <w:spacing w:beforeAutospacing="1" w:afterAutospacing="1" w:line="240" w:lineRule="auto"/>
        <w:rPr>
          <w:rFonts w:asciiTheme="minorHAnsi" w:hAnsiTheme="minorHAnsi"/>
          <w:b/>
          <w:bCs/>
          <w:sz w:val="22"/>
          <w:szCs w:val="22"/>
        </w:rPr>
      </w:pPr>
      <w:r w:rsidRPr="0D41860A">
        <w:rPr>
          <w:rFonts w:asciiTheme="minorHAnsi" w:hAnsiTheme="minorHAnsi"/>
          <w:b/>
          <w:bCs/>
          <w:sz w:val="22"/>
          <w:szCs w:val="22"/>
        </w:rPr>
        <w:t>Dispersal and the Reshaping of the City</w:t>
      </w:r>
    </w:p>
    <w:p w14:paraId="3FC44C62" w14:textId="754ECAD8"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A major turning point came with the Immigration and Asylum Act 1999, which introduced compulsory dispersal. From 2000 onwards, Glasgow became the UK’s largest dispersal city and the only dispersal location in Scotland, hosting around 10% of all UK asylum applicants since 2001. Dispersal requires people seeking asylum to move to designated areas with no choice over location or housing. In Glasgow, this often meant placement in deprived neighbourhoods, poor</w:t>
      </w:r>
      <w:r w:rsidR="0D1B4076">
        <w:noBreakHyphen/>
      </w:r>
      <w:r w:rsidRPr="0D41860A">
        <w:rPr>
          <w:rFonts w:asciiTheme="minorHAnsi" w:hAnsiTheme="minorHAnsi"/>
          <w:sz w:val="22"/>
          <w:szCs w:val="22"/>
        </w:rPr>
        <w:t xml:space="preserve">quality accommodation, and </w:t>
      </w:r>
      <w:r w:rsidR="6A1B6FC7" w:rsidRPr="0D41860A">
        <w:rPr>
          <w:rFonts w:asciiTheme="minorHAnsi" w:hAnsiTheme="minorHAnsi"/>
          <w:sz w:val="22"/>
          <w:szCs w:val="22"/>
        </w:rPr>
        <w:t xml:space="preserve">vacant </w:t>
      </w:r>
      <w:r w:rsidRPr="0D41860A">
        <w:rPr>
          <w:rFonts w:asciiTheme="minorHAnsi" w:hAnsiTheme="minorHAnsi"/>
          <w:sz w:val="22"/>
          <w:szCs w:val="22"/>
        </w:rPr>
        <w:t>high</w:t>
      </w:r>
      <w:r w:rsidR="0D1B4076">
        <w:noBreakHyphen/>
      </w:r>
      <w:r w:rsidRPr="0D41860A">
        <w:rPr>
          <w:rFonts w:asciiTheme="minorHAnsi" w:hAnsiTheme="minorHAnsi"/>
          <w:sz w:val="22"/>
          <w:szCs w:val="22"/>
        </w:rPr>
        <w:t>rise blocks awaiting demolition.</w:t>
      </w:r>
      <w:r w:rsidR="11A2C9C1" w:rsidRPr="0D41860A">
        <w:rPr>
          <w:rFonts w:asciiTheme="minorHAnsi" w:hAnsiTheme="minorHAnsi"/>
          <w:sz w:val="22"/>
          <w:szCs w:val="22"/>
        </w:rPr>
        <w:t xml:space="preserve"> </w:t>
      </w:r>
    </w:p>
    <w:p w14:paraId="3EFF31BB" w14:textId="1040E2FB"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 xml:space="preserve">At the same time, the Act created a segregated support system: exclusion from mainstream benefits, reliance on the ASPEN </w:t>
      </w:r>
      <w:r w:rsidR="4719D554" w:rsidRPr="0D41860A">
        <w:rPr>
          <w:rFonts w:asciiTheme="minorHAnsi" w:hAnsiTheme="minorHAnsi"/>
          <w:sz w:val="22"/>
          <w:szCs w:val="22"/>
        </w:rPr>
        <w:t xml:space="preserve">cashless credit </w:t>
      </w:r>
      <w:r w:rsidRPr="0D41860A">
        <w:rPr>
          <w:rFonts w:asciiTheme="minorHAnsi" w:hAnsiTheme="minorHAnsi"/>
          <w:sz w:val="22"/>
          <w:szCs w:val="22"/>
        </w:rPr>
        <w:t>card</w:t>
      </w:r>
      <w:r w:rsidR="163F1347" w:rsidRPr="0D41860A">
        <w:rPr>
          <w:rFonts w:asciiTheme="minorHAnsi" w:hAnsiTheme="minorHAnsi"/>
          <w:sz w:val="22"/>
          <w:szCs w:val="22"/>
        </w:rPr>
        <w:t xml:space="preserve"> system</w:t>
      </w:r>
      <w:r w:rsidRPr="0D41860A">
        <w:rPr>
          <w:rFonts w:asciiTheme="minorHAnsi" w:hAnsiTheme="minorHAnsi"/>
          <w:sz w:val="22"/>
          <w:szCs w:val="22"/>
        </w:rPr>
        <w:t>, and the deliberate use of destitution as a deterrent. Precarity, in other words, was designed into the system. These policies reshaped neighbourhoods and everyday life.</w:t>
      </w:r>
    </w:p>
    <w:p w14:paraId="38EDFA74" w14:textId="2C9940C8"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In the early years of dispersal, fear, racism, and hostility were prevalent, but these conditions also generated new forms of solidarity. Local residents, schools, faith groups, and activists organised against dawn raids, deportations, and housing injustice, often linking asylum struggles to wider issues of poverty and housing.</w:t>
      </w:r>
      <w:r w:rsidR="717F560B" w:rsidRPr="0D41860A">
        <w:rPr>
          <w:rFonts w:asciiTheme="minorHAnsi" w:hAnsiTheme="minorHAnsi"/>
          <w:sz w:val="22"/>
          <w:szCs w:val="22"/>
        </w:rPr>
        <w:t xml:space="preserve"> </w:t>
      </w:r>
      <w:r w:rsidRPr="0D41860A">
        <w:rPr>
          <w:rFonts w:asciiTheme="minorHAnsi" w:hAnsiTheme="minorHAnsi"/>
          <w:sz w:val="22"/>
          <w:szCs w:val="22"/>
        </w:rPr>
        <w:t>Subsequent changes — including the demolition of high</w:t>
      </w:r>
      <w:r w:rsidR="0D1B4076">
        <w:noBreakHyphen/>
      </w:r>
      <w:r w:rsidRPr="0D41860A">
        <w:rPr>
          <w:rFonts w:asciiTheme="minorHAnsi" w:hAnsiTheme="minorHAnsi"/>
          <w:sz w:val="22"/>
          <w:szCs w:val="22"/>
        </w:rPr>
        <w:t xml:space="preserve">rise flats, repeated relocations, and the growing use of hotels as emergency </w:t>
      </w:r>
      <w:r w:rsidR="10590812" w:rsidRPr="0D41860A">
        <w:rPr>
          <w:rFonts w:asciiTheme="minorHAnsi" w:hAnsiTheme="minorHAnsi"/>
          <w:sz w:val="22"/>
          <w:szCs w:val="22"/>
        </w:rPr>
        <w:t xml:space="preserve"> </w:t>
      </w:r>
      <w:r w:rsidRPr="0D41860A">
        <w:rPr>
          <w:rFonts w:asciiTheme="minorHAnsi" w:hAnsiTheme="minorHAnsi"/>
          <w:sz w:val="22"/>
          <w:szCs w:val="22"/>
        </w:rPr>
        <w:t>accommodation — have reproduced cycles of instability and isolation. Hotels, particularly during and after COVID</w:t>
      </w:r>
      <w:r w:rsidR="0D1B4076">
        <w:noBreakHyphen/>
      </w:r>
      <w:r w:rsidRPr="0D41860A">
        <w:rPr>
          <w:rFonts w:asciiTheme="minorHAnsi" w:hAnsiTheme="minorHAnsi"/>
          <w:sz w:val="22"/>
          <w:szCs w:val="22"/>
        </w:rPr>
        <w:t>19 — and now the default accommodation mechanism for non</w:t>
      </w:r>
      <w:r w:rsidR="0D1B4076">
        <w:noBreakHyphen/>
      </w:r>
      <w:r w:rsidRPr="0D41860A">
        <w:rPr>
          <w:rFonts w:asciiTheme="minorHAnsi" w:hAnsiTheme="minorHAnsi"/>
          <w:sz w:val="22"/>
          <w:szCs w:val="22"/>
        </w:rPr>
        <w:t xml:space="preserve">resettlement routes — have intensified segregation and created new risks. At the same </w:t>
      </w:r>
      <w:r w:rsidRPr="0D41860A">
        <w:rPr>
          <w:rFonts w:asciiTheme="minorHAnsi" w:hAnsiTheme="minorHAnsi"/>
          <w:sz w:val="22"/>
          <w:szCs w:val="22"/>
        </w:rPr>
        <w:lastRenderedPageBreak/>
        <w:t>time, these conditions have continued to generate mobilisations centred on care, protection, and resistance.</w:t>
      </w:r>
    </w:p>
    <w:p w14:paraId="66F368FF" w14:textId="312B01DB" w:rsidR="0D1B4076" w:rsidRDefault="7E82BED2" w:rsidP="0D41860A">
      <w:pPr>
        <w:spacing w:beforeAutospacing="1" w:afterAutospacing="1" w:line="240" w:lineRule="auto"/>
        <w:rPr>
          <w:rFonts w:asciiTheme="minorHAnsi" w:hAnsiTheme="minorHAnsi"/>
          <w:b/>
          <w:bCs/>
          <w:sz w:val="22"/>
          <w:szCs w:val="22"/>
        </w:rPr>
      </w:pPr>
      <w:r w:rsidRPr="0D41860A">
        <w:rPr>
          <w:rFonts w:asciiTheme="minorHAnsi" w:hAnsiTheme="minorHAnsi"/>
          <w:b/>
          <w:bCs/>
          <w:sz w:val="22"/>
          <w:szCs w:val="22"/>
        </w:rPr>
        <w:t>Organising and Everyday Solidarity</w:t>
      </w:r>
    </w:p>
    <w:p w14:paraId="307C5921" w14:textId="3375325E"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Over the past 25 years, Glasgow has developed a dense ecosystem of migrant</w:t>
      </w:r>
      <w:r w:rsidR="0D1B4076">
        <w:noBreakHyphen/>
      </w:r>
      <w:r w:rsidRPr="0D41860A">
        <w:rPr>
          <w:rFonts w:asciiTheme="minorHAnsi" w:hAnsiTheme="minorHAnsi"/>
          <w:sz w:val="22"/>
          <w:szCs w:val="22"/>
        </w:rPr>
        <w:t xml:space="preserve">led and solidarity organisations. These include the Glasgow Girls, the Glasgow Campaign to Welcome Refugees, the Unity Centre, the Night Shelter for Destitute Asylum Seekers, Ubuntu Women’s Shelter, Living Rent, </w:t>
      </w:r>
      <w:r w:rsidR="476E27D3" w:rsidRPr="0D41860A">
        <w:rPr>
          <w:rFonts w:asciiTheme="minorHAnsi" w:hAnsiTheme="minorHAnsi"/>
          <w:sz w:val="22"/>
          <w:szCs w:val="22"/>
        </w:rPr>
        <w:t xml:space="preserve">Refguees for Justice, </w:t>
      </w:r>
      <w:r w:rsidRPr="0D41860A">
        <w:rPr>
          <w:rFonts w:asciiTheme="minorHAnsi" w:hAnsiTheme="minorHAnsi"/>
          <w:sz w:val="22"/>
          <w:szCs w:val="22"/>
        </w:rPr>
        <w:t>and long</w:t>
      </w:r>
      <w:r w:rsidR="0D1B4076">
        <w:noBreakHyphen/>
      </w:r>
      <w:r w:rsidRPr="0D41860A">
        <w:rPr>
          <w:rFonts w:asciiTheme="minorHAnsi" w:hAnsiTheme="minorHAnsi"/>
          <w:sz w:val="22"/>
          <w:szCs w:val="22"/>
        </w:rPr>
        <w:t>standing integration networks such as Maryhill Integration Network and Govan Community Project. Trade union branches and neighbourhood groups have also played a crucial role.</w:t>
      </w:r>
      <w:r w:rsidR="0FF25A12" w:rsidRPr="0D41860A">
        <w:rPr>
          <w:rFonts w:asciiTheme="minorHAnsi" w:hAnsiTheme="minorHAnsi"/>
          <w:sz w:val="22"/>
          <w:szCs w:val="22"/>
        </w:rPr>
        <w:t xml:space="preserve"> </w:t>
      </w:r>
    </w:p>
    <w:p w14:paraId="4AD070BF" w14:textId="46B279DC"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What links these efforts is a form of practical solidarity: accompaniment, advocacy, housing support, mutual aid, and collective organising. Solidarity in Glasgow is not only visible in moments of protest, but embedded in everyday practices of care.</w:t>
      </w:r>
      <w:r w:rsidR="082BC0A3" w:rsidRPr="0D41860A">
        <w:rPr>
          <w:rFonts w:asciiTheme="minorHAnsi" w:hAnsiTheme="minorHAnsi"/>
          <w:sz w:val="22"/>
          <w:szCs w:val="22"/>
        </w:rPr>
        <w:t xml:space="preserve"> </w:t>
      </w:r>
    </w:p>
    <w:p w14:paraId="69A8964E" w14:textId="467EE357"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Community</w:t>
      </w:r>
      <w:r w:rsidR="0D1B4076">
        <w:noBreakHyphen/>
      </w:r>
      <w:r w:rsidRPr="0D41860A">
        <w:rPr>
          <w:rFonts w:asciiTheme="minorHAnsi" w:hAnsiTheme="minorHAnsi"/>
          <w:sz w:val="22"/>
          <w:szCs w:val="22"/>
        </w:rPr>
        <w:t>led anti</w:t>
      </w:r>
      <w:r w:rsidR="0D1B4076">
        <w:noBreakHyphen/>
      </w:r>
      <w:r w:rsidRPr="0D41860A">
        <w:rPr>
          <w:rFonts w:asciiTheme="minorHAnsi" w:hAnsiTheme="minorHAnsi"/>
          <w:sz w:val="22"/>
          <w:szCs w:val="22"/>
        </w:rPr>
        <w:t>dawn</w:t>
      </w:r>
      <w:r w:rsidR="0D1B4076">
        <w:noBreakHyphen/>
      </w:r>
      <w:r w:rsidRPr="0D41860A">
        <w:rPr>
          <w:rFonts w:asciiTheme="minorHAnsi" w:hAnsiTheme="minorHAnsi"/>
          <w:sz w:val="22"/>
          <w:szCs w:val="22"/>
        </w:rPr>
        <w:t>raid work in the early 2000s, particularly in dispersal neighbourhoods such as Knightswood, illustrates this clearly. Neighbours organised to resist immigration enforcement by sharing phone numbers and using a sophisticated but low</w:t>
      </w:r>
      <w:r w:rsidR="0D1B4076">
        <w:noBreakHyphen/>
      </w:r>
      <w:r w:rsidRPr="0D41860A">
        <w:rPr>
          <w:rFonts w:asciiTheme="minorHAnsi" w:hAnsiTheme="minorHAnsi"/>
          <w:sz w:val="22"/>
          <w:szCs w:val="22"/>
        </w:rPr>
        <w:t>tech warning system. These practices enabled communities to prevent forced removals and challenge the presence of immigration officers. Importantly, they were not only reactive but became sites of learning, where strategies, tactics, and forms of collective care were refined over time.</w:t>
      </w:r>
    </w:p>
    <w:p w14:paraId="4FEBA419" w14:textId="7A240F0D"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These practices also fed into later forms of organised resistance. For example, the SERCO lock</w:t>
      </w:r>
      <w:r w:rsidR="0D1B4076">
        <w:noBreakHyphen/>
      </w:r>
      <w:r w:rsidRPr="0D41860A">
        <w:rPr>
          <w:rFonts w:asciiTheme="minorHAnsi" w:hAnsiTheme="minorHAnsi"/>
          <w:sz w:val="22"/>
          <w:szCs w:val="22"/>
        </w:rPr>
        <w:t>change eviction crisis (2018–19) brought together housing activists, tenants’ unions, lawyers, and migrant justice groups to resist evictions, reframing asylum enforcement as a housing rights issue. This cross</w:t>
      </w:r>
      <w:r w:rsidR="0D1B4076">
        <w:noBreakHyphen/>
      </w:r>
      <w:r w:rsidRPr="0D41860A">
        <w:rPr>
          <w:rFonts w:asciiTheme="minorHAnsi" w:hAnsiTheme="minorHAnsi"/>
          <w:sz w:val="22"/>
          <w:szCs w:val="22"/>
        </w:rPr>
        <w:t>movement framing widened support and produced powerful coalitions.</w:t>
      </w:r>
      <w:r w:rsidR="309A7B58" w:rsidRPr="0D41860A">
        <w:rPr>
          <w:rFonts w:asciiTheme="minorHAnsi" w:hAnsiTheme="minorHAnsi"/>
          <w:sz w:val="22"/>
          <w:szCs w:val="22"/>
        </w:rPr>
        <w:t xml:space="preserve">  </w:t>
      </w:r>
      <w:r w:rsidRPr="0D41860A">
        <w:rPr>
          <w:rFonts w:asciiTheme="minorHAnsi" w:hAnsiTheme="minorHAnsi"/>
          <w:sz w:val="22"/>
          <w:szCs w:val="22"/>
        </w:rPr>
        <w:t>Similarly, the events at Kenmure Street in 2021 — where residents stopped an immigration enforcement van and secured the release of two men — appeared spontaneous but were in fact the product of decades of organising, trust</w:t>
      </w:r>
      <w:r w:rsidR="0D1B4076">
        <w:noBreakHyphen/>
      </w:r>
      <w:r w:rsidRPr="0D41860A">
        <w:rPr>
          <w:rFonts w:asciiTheme="minorHAnsi" w:hAnsiTheme="minorHAnsi"/>
          <w:sz w:val="22"/>
          <w:szCs w:val="22"/>
        </w:rPr>
        <w:t>building, and shared struggle. Taken together, these moments show how overlapping pressures — housing insecurity, poverty, racism, and immigration control — can generate sustained communities of resistance.</w:t>
      </w:r>
    </w:p>
    <w:p w14:paraId="14022FAC" w14:textId="154F9BF3" w:rsidR="0D1B4076" w:rsidRDefault="7E82BED2" w:rsidP="0D41860A">
      <w:pPr>
        <w:spacing w:beforeAutospacing="1" w:afterAutospacing="1" w:line="240" w:lineRule="auto"/>
        <w:rPr>
          <w:rFonts w:asciiTheme="minorHAnsi" w:hAnsiTheme="minorHAnsi"/>
          <w:b/>
          <w:bCs/>
          <w:sz w:val="22"/>
          <w:szCs w:val="22"/>
        </w:rPr>
      </w:pPr>
      <w:r w:rsidRPr="0D41860A">
        <w:rPr>
          <w:rFonts w:asciiTheme="minorHAnsi" w:hAnsiTheme="minorHAnsi"/>
          <w:b/>
          <w:bCs/>
          <w:sz w:val="22"/>
          <w:szCs w:val="22"/>
        </w:rPr>
        <w:t>Contrasting Narratives of Welcome</w:t>
      </w:r>
    </w:p>
    <w:p w14:paraId="08412A12" w14:textId="52EF3E8B" w:rsidR="0D1B4076" w:rsidRDefault="7E82BED2" w:rsidP="00010570">
      <w:pPr>
        <w:spacing w:beforeAutospacing="1" w:afterAutospacing="1" w:line="240" w:lineRule="auto"/>
        <w:rPr>
          <w:rFonts w:asciiTheme="minorHAnsi" w:hAnsiTheme="minorHAnsi"/>
          <w:sz w:val="22"/>
          <w:szCs w:val="22"/>
        </w:rPr>
      </w:pPr>
      <w:r w:rsidRPr="0D41860A">
        <w:rPr>
          <w:rFonts w:asciiTheme="minorHAnsi" w:hAnsiTheme="minorHAnsi"/>
          <w:sz w:val="22"/>
          <w:szCs w:val="22"/>
        </w:rPr>
        <w:t>Glasgow’s story also highlights stark contrasts between different migration regimes. Quota</w:t>
      </w:r>
      <w:r w:rsidR="0D1B4076">
        <w:noBreakHyphen/>
      </w:r>
      <w:r w:rsidRPr="0D41860A">
        <w:rPr>
          <w:rFonts w:asciiTheme="minorHAnsi" w:hAnsiTheme="minorHAnsi"/>
          <w:sz w:val="22"/>
          <w:szCs w:val="22"/>
        </w:rPr>
        <w:t>based resettlement schemes (such as Syrian, Afghan, and Ukrainian programmes) have been publicly celebrated, well resourced, and framed as humanitarian successes. By contrast, people seeking asylum through dispersal experience compulsion, minimal support, and long</w:t>
      </w:r>
      <w:r w:rsidR="0D1B4076">
        <w:noBreakHyphen/>
      </w:r>
      <w:r w:rsidRPr="0D41860A">
        <w:rPr>
          <w:rFonts w:asciiTheme="minorHAnsi" w:hAnsiTheme="minorHAnsi"/>
          <w:sz w:val="22"/>
          <w:szCs w:val="22"/>
        </w:rPr>
        <w:t>term insecurity.</w:t>
      </w:r>
      <w:r w:rsidR="00010570">
        <w:rPr>
          <w:rFonts w:asciiTheme="minorHAnsi" w:hAnsiTheme="minorHAnsi"/>
          <w:sz w:val="22"/>
          <w:szCs w:val="22"/>
        </w:rPr>
        <w:t xml:space="preserve"> </w:t>
      </w:r>
      <w:r w:rsidRPr="0D41860A">
        <w:rPr>
          <w:rFonts w:asciiTheme="minorHAnsi" w:hAnsiTheme="minorHAnsi"/>
          <w:sz w:val="22"/>
          <w:szCs w:val="22"/>
        </w:rPr>
        <w:t>These differences point to wider hierarchies of deservingness and raise fundamental questions about who is welcomed, on what terms, and why. They also shape very different everyday experiences of life in the city.</w:t>
      </w:r>
    </w:p>
    <w:p w14:paraId="586F7642" w14:textId="57E3BA6D" w:rsidR="0D1B4076" w:rsidRDefault="7E82BED2" w:rsidP="0D41860A">
      <w:pPr>
        <w:spacing w:beforeAutospacing="1" w:afterAutospacing="1" w:line="240" w:lineRule="auto"/>
        <w:rPr>
          <w:rFonts w:asciiTheme="minorHAnsi" w:hAnsiTheme="minorHAnsi"/>
          <w:b/>
          <w:bCs/>
          <w:sz w:val="22"/>
          <w:szCs w:val="22"/>
        </w:rPr>
      </w:pPr>
      <w:r w:rsidRPr="0D41860A">
        <w:rPr>
          <w:rFonts w:asciiTheme="minorHAnsi" w:hAnsiTheme="minorHAnsi"/>
          <w:b/>
          <w:bCs/>
          <w:sz w:val="22"/>
          <w:szCs w:val="22"/>
        </w:rPr>
        <w:t>Continuing Struggles, Continuing Solidarity</w:t>
      </w:r>
    </w:p>
    <w:p w14:paraId="729EA064" w14:textId="28B6A9EC" w:rsidR="0D1B4076" w:rsidRDefault="7E82BED2" w:rsidP="0D41860A">
      <w:pPr>
        <w:spacing w:beforeAutospacing="1" w:afterAutospacing="1" w:line="240" w:lineRule="auto"/>
        <w:rPr>
          <w:rFonts w:asciiTheme="minorHAnsi" w:hAnsiTheme="minorHAnsi"/>
          <w:sz w:val="22"/>
          <w:szCs w:val="22"/>
        </w:rPr>
      </w:pPr>
      <w:r w:rsidRPr="0D41860A">
        <w:rPr>
          <w:rFonts w:asciiTheme="minorHAnsi" w:hAnsiTheme="minorHAnsi"/>
          <w:sz w:val="22"/>
          <w:szCs w:val="22"/>
        </w:rPr>
        <w:t>Today, migrant justice in Glasgow unfolds amid hotel accommodation, rising public racism, far</w:t>
      </w:r>
      <w:r w:rsidR="0D1B4076">
        <w:noBreakHyphen/>
      </w:r>
      <w:r w:rsidRPr="0D41860A">
        <w:rPr>
          <w:rFonts w:asciiTheme="minorHAnsi" w:hAnsiTheme="minorHAnsi"/>
          <w:sz w:val="22"/>
          <w:szCs w:val="22"/>
        </w:rPr>
        <w:t>right mobilisation, and increasingly polarised debates around migration. Yet the city’s long history of organising continues to shape responses to these conditions.</w:t>
      </w:r>
    </w:p>
    <w:p w14:paraId="0FFE63D2" w14:textId="4A176152" w:rsidR="00642601" w:rsidRDefault="7E82BED2" w:rsidP="0D41860A">
      <w:pPr>
        <w:spacing w:before="100" w:beforeAutospacing="1" w:after="100" w:afterAutospacing="1" w:line="240" w:lineRule="auto"/>
        <w:contextualSpacing/>
        <w:rPr>
          <w:rFonts w:asciiTheme="minorHAnsi" w:hAnsiTheme="minorHAnsi"/>
          <w:sz w:val="22"/>
          <w:szCs w:val="22"/>
        </w:rPr>
      </w:pPr>
      <w:r w:rsidRPr="0D41860A">
        <w:rPr>
          <w:rFonts w:asciiTheme="minorHAnsi" w:hAnsiTheme="minorHAnsi"/>
          <w:sz w:val="22"/>
          <w:szCs w:val="22"/>
        </w:rPr>
        <w:t>Solidarity here is not inherited automatically; it must be practised, renewed, and adapted. Glasgow’s experience shows that solidarity is rooted in place, memory, and shared struggles — and that it emerges in response to, as much as in resistance against, hostile policies. It offers important lessons for thinking about how communities respond to exclusion, and how care, resistance, and political imagination remain central to struggles for migrant justice.</w:t>
      </w:r>
      <w:r w:rsidR="248ADACE" w:rsidRPr="0D41860A">
        <w:rPr>
          <w:rFonts w:asciiTheme="minorHAnsi" w:hAnsiTheme="minorHAnsi"/>
          <w:sz w:val="22"/>
          <w:szCs w:val="22"/>
        </w:rPr>
        <w:t xml:space="preserve"> </w:t>
      </w:r>
    </w:p>
    <w:sectPr w:rsidR="00642601" w:rsidSect="006A128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01"/>
    <w:rsid w:val="00010570"/>
    <w:rsid w:val="00031C04"/>
    <w:rsid w:val="00224C7D"/>
    <w:rsid w:val="005525DF"/>
    <w:rsid w:val="00642601"/>
    <w:rsid w:val="006A128A"/>
    <w:rsid w:val="00706612"/>
    <w:rsid w:val="00773B90"/>
    <w:rsid w:val="00B536CB"/>
    <w:rsid w:val="00BA47D0"/>
    <w:rsid w:val="00BD745F"/>
    <w:rsid w:val="00D1402F"/>
    <w:rsid w:val="00D215EB"/>
    <w:rsid w:val="00D81B9A"/>
    <w:rsid w:val="00E1396C"/>
    <w:rsid w:val="00E94A97"/>
    <w:rsid w:val="00EF14B6"/>
    <w:rsid w:val="01E721C8"/>
    <w:rsid w:val="02765013"/>
    <w:rsid w:val="0519EE56"/>
    <w:rsid w:val="082BC0A3"/>
    <w:rsid w:val="097B1DFA"/>
    <w:rsid w:val="0BB3B2A1"/>
    <w:rsid w:val="0D1B4076"/>
    <w:rsid w:val="0D41860A"/>
    <w:rsid w:val="0FF25A12"/>
    <w:rsid w:val="10073708"/>
    <w:rsid w:val="10590812"/>
    <w:rsid w:val="11A2C9C1"/>
    <w:rsid w:val="16306259"/>
    <w:rsid w:val="163F1347"/>
    <w:rsid w:val="1BA59E8A"/>
    <w:rsid w:val="1C9AA506"/>
    <w:rsid w:val="219B84FE"/>
    <w:rsid w:val="248ADACE"/>
    <w:rsid w:val="282DE39F"/>
    <w:rsid w:val="2B631A84"/>
    <w:rsid w:val="2D83648A"/>
    <w:rsid w:val="309A7B58"/>
    <w:rsid w:val="34CB794F"/>
    <w:rsid w:val="363BA5BA"/>
    <w:rsid w:val="3A8462EC"/>
    <w:rsid w:val="3E68C27A"/>
    <w:rsid w:val="430CBC0C"/>
    <w:rsid w:val="447E5CCE"/>
    <w:rsid w:val="4719D554"/>
    <w:rsid w:val="476E27D3"/>
    <w:rsid w:val="4C1A857B"/>
    <w:rsid w:val="525FCADB"/>
    <w:rsid w:val="54B9916A"/>
    <w:rsid w:val="55E8D555"/>
    <w:rsid w:val="56FB861E"/>
    <w:rsid w:val="58CB4502"/>
    <w:rsid w:val="59DF3518"/>
    <w:rsid w:val="59F113B9"/>
    <w:rsid w:val="5B7ED119"/>
    <w:rsid w:val="5E217730"/>
    <w:rsid w:val="63A07E13"/>
    <w:rsid w:val="6A1B6FC7"/>
    <w:rsid w:val="6FFC4C10"/>
    <w:rsid w:val="717F560B"/>
    <w:rsid w:val="720D423E"/>
    <w:rsid w:val="7B0273D1"/>
    <w:rsid w:val="7BEC2A3C"/>
    <w:rsid w:val="7E82BED2"/>
    <w:rsid w:val="7F6B158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FCBE"/>
  <w15:chartTrackingRefBased/>
  <w15:docId w15:val="{271B3CCC-7A90-4B90-852E-09CF43D7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theme="minorBidi"/>
        <w:sz w:val="24"/>
        <w:szCs w:val="24"/>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6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426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260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26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426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4260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260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260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260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6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426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260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260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4260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426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26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26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26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2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6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60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6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2601"/>
    <w:pPr>
      <w:spacing w:before="160"/>
      <w:jc w:val="center"/>
    </w:pPr>
    <w:rPr>
      <w:i/>
      <w:iCs/>
      <w:color w:val="404040" w:themeColor="text1" w:themeTint="BF"/>
    </w:rPr>
  </w:style>
  <w:style w:type="character" w:customStyle="1" w:styleId="QuoteChar">
    <w:name w:val="Quote Char"/>
    <w:basedOn w:val="DefaultParagraphFont"/>
    <w:link w:val="Quote"/>
    <w:uiPriority w:val="29"/>
    <w:rsid w:val="00642601"/>
    <w:rPr>
      <w:i/>
      <w:iCs/>
      <w:color w:val="404040" w:themeColor="text1" w:themeTint="BF"/>
    </w:rPr>
  </w:style>
  <w:style w:type="paragraph" w:styleId="ListParagraph">
    <w:name w:val="List Paragraph"/>
    <w:basedOn w:val="Normal"/>
    <w:uiPriority w:val="34"/>
    <w:qFormat/>
    <w:rsid w:val="00642601"/>
    <w:pPr>
      <w:ind w:left="720"/>
      <w:contextualSpacing/>
    </w:pPr>
  </w:style>
  <w:style w:type="character" w:styleId="IntenseEmphasis">
    <w:name w:val="Intense Emphasis"/>
    <w:basedOn w:val="DefaultParagraphFont"/>
    <w:uiPriority w:val="21"/>
    <w:qFormat/>
    <w:rsid w:val="00642601"/>
    <w:rPr>
      <w:i/>
      <w:iCs/>
      <w:color w:val="2F5496" w:themeColor="accent1" w:themeShade="BF"/>
    </w:rPr>
  </w:style>
  <w:style w:type="paragraph" w:styleId="IntenseQuote">
    <w:name w:val="Intense Quote"/>
    <w:basedOn w:val="Normal"/>
    <w:next w:val="Normal"/>
    <w:link w:val="IntenseQuoteChar"/>
    <w:uiPriority w:val="30"/>
    <w:qFormat/>
    <w:rsid w:val="006426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2601"/>
    <w:rPr>
      <w:i/>
      <w:iCs/>
      <w:color w:val="2F5496" w:themeColor="accent1" w:themeShade="BF"/>
    </w:rPr>
  </w:style>
  <w:style w:type="character" w:styleId="IntenseReference">
    <w:name w:val="Intense Reference"/>
    <w:basedOn w:val="DefaultParagraphFont"/>
    <w:uiPriority w:val="32"/>
    <w:qFormat/>
    <w:rsid w:val="00642601"/>
    <w:rPr>
      <w:b/>
      <w:bCs/>
      <w:smallCaps/>
      <w:color w:val="2F5496" w:themeColor="accent1" w:themeShade="BF"/>
      <w:spacing w:val="5"/>
    </w:rPr>
  </w:style>
  <w:style w:type="character" w:styleId="Hyperlink">
    <w:name w:val="Hyperlink"/>
    <w:basedOn w:val="DefaultParagraphFont"/>
    <w:uiPriority w:val="99"/>
    <w:unhideWhenUsed/>
    <w:rsid w:val="00BD745F"/>
    <w:rPr>
      <w:color w:val="0563C1" w:themeColor="hyperlink"/>
      <w:u w:val="single"/>
    </w:rPr>
  </w:style>
  <w:style w:type="character" w:styleId="UnresolvedMention">
    <w:name w:val="Unresolved Mention"/>
    <w:basedOn w:val="DefaultParagraphFont"/>
    <w:uiPriority w:val="99"/>
    <w:semiHidden/>
    <w:unhideWhenUsed/>
    <w:rsid w:val="00BD7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1113</Words>
  <Characters>6345</Characters>
  <Application>Microsoft Office Word</Application>
  <DocSecurity>0</DocSecurity>
  <Lines>52</Lines>
  <Paragraphs>14</Paragraphs>
  <ScaleCrop>false</ScaleCrop>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Piacentini</dc:creator>
  <cp:keywords/>
  <dc:description/>
  <cp:lastModifiedBy>Teresa Piacentini</cp:lastModifiedBy>
  <cp:revision>16</cp:revision>
  <dcterms:created xsi:type="dcterms:W3CDTF">2026-04-29T15:50:00Z</dcterms:created>
  <dcterms:modified xsi:type="dcterms:W3CDTF">2026-09-25T14:12:00Z</dcterms:modified>
</cp:coreProperties>
</file>